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33400" cy="7048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ПУШКИНСКОЕ МУНИЦИПАЛЬНОЕ ОБРАЗОВАНИЕ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(второго </w:t>
      </w:r>
      <w:r>
        <w:rPr>
          <w:b/>
          <w:sz w:val="26"/>
          <w:szCs w:val="26"/>
        </w:rPr>
        <w:t>созыва)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 Е Ш Е Н И Е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/>
      </w:pPr>
      <w:r>
        <w:rPr>
          <w:sz w:val="28"/>
        </w:rPr>
        <w:t xml:space="preserve">от 05.04.2024 № 50                 </w:t>
        <w:tab/>
        <w:tab/>
      </w:r>
      <w:r>
        <w:rPr/>
        <w:t>р.п. Пушкино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ConsPlusTitle"/>
        <w:rPr>
          <w:b w:val="false"/>
        </w:rPr>
      </w:pPr>
      <w:r>
        <w:rPr>
          <w:b w:val="false"/>
        </w:rPr>
      </w:r>
    </w:p>
    <w:p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Пушкинского муниципального образования от 13.12.2023 № 30 «О бюджете Пушкинского  муниципального образования на 2024 год  и на плановый период 2025 и 2026 годов»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ind w:firstLine="708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Руководствуясь Бюджетным кодексом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1. Внести в решение Совета депутатов Пушкинского муниципального образования от 13.12.2023 № 30 «О бюджете Пушкинского муниципального образования на 2024 год и на плановый период 2025 и 2026 годов» (с изменениями от 30.01.2024 № 40, от 29.03.2024 № 48) изменения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_Hlk156913274"/>
      <w:bookmarkEnd w:id="0"/>
      <w:r>
        <w:rPr>
          <w:sz w:val="28"/>
          <w:szCs w:val="28"/>
        </w:rPr>
        <w:t>1) в пункте 1.: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в подпункте 1.1. цифры «17123,9» заменить цифрами «17453,9»;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в подпункте 1.2. цифры «20217,2» заменить цифрами «20547,2»;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приложение 1 изложить в новой редакции (приложение 1);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</w:t>
      </w:r>
      <w:bookmarkStart w:id="1" w:name="_Hlk163207384"/>
      <w:r>
        <w:rPr>
          <w:sz w:val="28"/>
          <w:szCs w:val="28"/>
        </w:rPr>
        <w:t>приложение 2 изложить в новой редакции (приложение 2);</w:t>
      </w:r>
      <w:bookmarkEnd w:id="1"/>
    </w:p>
    <w:p>
      <w:pPr>
        <w:pStyle w:val="Normal"/>
        <w:ind w:firstLine="709"/>
        <w:jc w:val="both"/>
        <w:rPr/>
      </w:pPr>
      <w:bookmarkStart w:id="2" w:name="_Hlk156913274_Копия_1"/>
      <w:bookmarkEnd w:id="2"/>
      <w:r>
        <w:rPr>
          <w:sz w:val="28"/>
          <w:szCs w:val="28"/>
        </w:rPr>
        <w:t>4) приложение 3 изложить в новой редакции (приложение 3);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5) приложение 4 изложить в новой редакции (приложение 4);</w:t>
      </w:r>
    </w:p>
    <w:p>
      <w:pPr>
        <w:pStyle w:val="Normal"/>
        <w:ind w:firstLine="709"/>
        <w:jc w:val="both"/>
        <w:rPr/>
      </w:pPr>
      <w:r>
        <w:rPr>
          <w:b w:val="false"/>
          <w:sz w:val="28"/>
          <w:szCs w:val="28"/>
        </w:rPr>
        <w:t>6) приложение 7 изложить в новой редакции (приложение 5).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Глава Пушкинского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И.В.Шонина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rPr/>
      </w:pPr>
      <w:r>
        <w:rPr/>
      </w:r>
    </w:p>
    <w:p>
      <w:pPr>
        <w:pStyle w:val="ConsPlusTitle"/>
        <w:rPr/>
      </w:pPr>
      <w:r>
        <w:rPr/>
      </w:r>
    </w:p>
    <w:p>
      <w:pPr>
        <w:pStyle w:val="ConsPlusTitle"/>
        <w:rPr>
          <w:b/>
          <w:bCs/>
        </w:rPr>
      </w:pPr>
      <w:r>
        <w:rPr>
          <w:b/>
          <w:bCs/>
        </w:rPr>
      </w:r>
    </w:p>
    <w:tbl>
      <w:tblPr>
        <w:tblW w:w="10410" w:type="dxa"/>
        <w:jc w:val="left"/>
        <w:tblInd w:w="4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504"/>
        <w:gridCol w:w="4350"/>
        <w:gridCol w:w="1231"/>
        <w:gridCol w:w="1154"/>
        <w:gridCol w:w="1171"/>
      </w:tblGrid>
      <w:tr>
        <w:trPr>
          <w:trHeight w:val="315" w:hRule="atLeast"/>
        </w:trPr>
        <w:tc>
          <w:tcPr>
            <w:tcW w:w="1041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Приложение 1</w:t>
            </w:r>
          </w:p>
        </w:tc>
      </w:tr>
      <w:tr>
        <w:trPr>
          <w:trHeight w:val="315" w:hRule="atLeast"/>
        </w:trPr>
        <w:tc>
          <w:tcPr>
            <w:tcW w:w="1041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>
        <w:trPr>
          <w:trHeight w:val="585" w:hRule="atLeast"/>
        </w:trPr>
        <w:tc>
          <w:tcPr>
            <w:tcW w:w="1041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6520" w:right="11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Пушкинского муниципального                                                     образования   от  05.04.2024№ 50</w:t>
            </w:r>
          </w:p>
        </w:tc>
      </w:tr>
      <w:tr>
        <w:trPr>
          <w:trHeight w:val="315" w:hRule="atLeast"/>
        </w:trPr>
        <w:tc>
          <w:tcPr>
            <w:tcW w:w="1041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6576" w:right="5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"Приложение 1 к решению Совета         депутатов Пушкинского муниципального образования</w:t>
            </w:r>
          </w:p>
        </w:tc>
      </w:tr>
      <w:tr>
        <w:trPr>
          <w:trHeight w:val="315" w:hRule="atLeast"/>
        </w:trPr>
        <w:tc>
          <w:tcPr>
            <w:tcW w:w="1041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от 13.12.2023 № 30"</w:t>
            </w:r>
          </w:p>
        </w:tc>
      </w:tr>
      <w:tr>
        <w:trPr>
          <w:trHeight w:val="870" w:hRule="atLeast"/>
        </w:trPr>
        <w:tc>
          <w:tcPr>
            <w:tcW w:w="1041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Распределение доходов бюджета Пушкинского муниципального образования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25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3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041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(тыс.рублей)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Код классификации доходов</w:t>
            </w:r>
          </w:p>
        </w:tc>
        <w:tc>
          <w:tcPr>
            <w:tcW w:w="4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 кода классификации доходов</w:t>
            </w:r>
          </w:p>
        </w:tc>
        <w:tc>
          <w:tcPr>
            <w:tcW w:w="3556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585" w:hRule="atLeast"/>
        </w:trPr>
        <w:tc>
          <w:tcPr>
            <w:tcW w:w="25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43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11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11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</w:t>
            </w:r>
          </w:p>
        </w:tc>
      </w:tr>
      <w:tr>
        <w:trPr>
          <w:trHeight w:val="63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1 00 00000 00 0000 000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15 830,2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16 061,9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18 118,3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НАЛОГОВЫЕ ДОХОДЫ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14 567,7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15 195,8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16 773,9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1 01 00000 00 0000 000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3 061,2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3 287,5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3 534,5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1 01 02000 00 0000 000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3 061,2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3 287,5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3 534,5</w:t>
            </w:r>
          </w:p>
        </w:tc>
      </w:tr>
      <w:tr>
        <w:trPr>
          <w:trHeight w:val="126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1 03 00000 00 0000 000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2 894,0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2 956,3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3 986,9</w:t>
            </w:r>
          </w:p>
        </w:tc>
      </w:tr>
      <w:tr>
        <w:trPr>
          <w:trHeight w:val="94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1 03 02000 01 0000 110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Акцизы по подакцизным товарам(продукции),производимым  на территории  Российской Федерации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2 894,0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2 956,3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3 986,9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1 05 00000 00 0000 000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5 632,5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5 852,0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6 074,0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1 05 03000 00 0000 000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5 632,5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5 852,0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6 074,0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1 06 00000 00 0000 000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2 980,0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3 100,0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3 178,5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1 06 01000 00 0000 000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Налог на имущество физических лиц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252,0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263,0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272,5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1 06 06000 00 0000 000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Земельный налог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2 728,0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2 837,0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2 906,0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1 262,5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866,1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1 344,4</w:t>
            </w:r>
          </w:p>
        </w:tc>
      </w:tr>
      <w:tr>
        <w:trPr>
          <w:trHeight w:val="157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1 11 00000 00 0000 000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655,0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724,1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1 202,4</w:t>
            </w:r>
          </w:p>
        </w:tc>
      </w:tr>
      <w:tr>
        <w:trPr>
          <w:trHeight w:val="220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1 11 05013 13 0000 120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Доходы,получаемые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430,0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220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1 11 05035 13 0000 120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Доходы от сдачи в аренду имущества,находящегося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115,0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115,0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115,0</w:t>
            </w:r>
          </w:p>
        </w:tc>
      </w:tr>
      <w:tr>
        <w:trPr>
          <w:trHeight w:val="220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1 11 09045 13 0000 120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509,1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987,4</w:t>
            </w:r>
          </w:p>
        </w:tc>
      </w:tr>
      <w:tr>
        <w:trPr>
          <w:trHeight w:val="94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1 14 00000 00 0000 000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110,0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110,0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110,0</w:t>
            </w:r>
          </w:p>
        </w:tc>
      </w:tr>
      <w:tr>
        <w:trPr>
          <w:trHeight w:val="189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1 14 02053 13 0000 410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т.ч.казенных)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10,0</w:t>
            </w:r>
          </w:p>
        </w:tc>
      </w:tr>
      <w:tr>
        <w:trPr>
          <w:trHeight w:val="126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1 14 06013 13 0000 430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1 16 00000 00 0000 000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32,0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32,0</w:t>
            </w:r>
          </w:p>
        </w:tc>
      </w:tr>
      <w:tr>
        <w:trPr>
          <w:trHeight w:val="220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1 16 07090 13 0000 140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штрафы, неустойки, пени, уплаченные  в соответствии с законом и договором в случаенеисполнения или ненадлежащего исполнения  обязательств перед муниципальнып органом(муниципальным казенным  учреждением) городского поселения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32,0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32,0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1 17 00 000 00 0000 000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467,5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i/>
              </w:rPr>
              <w:t>1 17 05050 13 0000 180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i/>
              </w:rPr>
              <w:t>Прочие неналоговые доходы бюджетов городских поселений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i/>
              </w:rPr>
              <w:t>467,5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i/>
              </w:rPr>
              <w:t>0,0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i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2 00 00000 00 0000 000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1 623,7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684,3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725,0</w:t>
            </w:r>
          </w:p>
        </w:tc>
      </w:tr>
      <w:tr>
        <w:trPr>
          <w:trHeight w:val="126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2 02 00000 00 0000 000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1 623,7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684,3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725,0</w:t>
            </w:r>
          </w:p>
        </w:tc>
      </w:tr>
      <w:tr>
        <w:trPr>
          <w:trHeight w:val="94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2 02 16000 00 0000 150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276,7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300,8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306,2</w:t>
            </w:r>
          </w:p>
        </w:tc>
      </w:tr>
      <w:tr>
        <w:trPr>
          <w:trHeight w:val="94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2 02 16001 13 0002 150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Дотации бюджетам городских поселений на выравнивание бюджетной обеспеченности из областного бюджета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276,7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300,8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306,2</w:t>
            </w:r>
          </w:p>
        </w:tc>
      </w:tr>
      <w:tr>
        <w:trPr>
          <w:trHeight w:val="945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2 02 30 000 00 0000 150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347,0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383,5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418,8</w:t>
            </w:r>
          </w:p>
        </w:tc>
      </w:tr>
      <w:tr>
        <w:trPr>
          <w:trHeight w:val="126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2 02 35 118 13 0000 150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347,0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383,5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418,8</w:t>
            </w:r>
          </w:p>
        </w:tc>
      </w:tr>
      <w:tr>
        <w:trPr>
          <w:trHeight w:val="57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2 02 40000 00 0000 150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1 000,0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250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2 02 40014 13 0010 150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57" w:right="113" w:hanging="0"/>
              <w:jc w:val="center"/>
              <w:rPr/>
            </w:pPr>
            <w:r>
              <w:rPr/>
              <w:t>1 000,0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0,0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0,0</w:t>
            </w:r>
          </w:p>
        </w:tc>
      </w:tr>
      <w:tr>
        <w:trPr>
          <w:trHeight w:val="315" w:hRule="atLeast"/>
        </w:trPr>
        <w:tc>
          <w:tcPr>
            <w:tcW w:w="685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17 453,9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16 746,2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18 843,3</w:t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3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Верно:</w:t>
            </w:r>
          </w:p>
        </w:tc>
        <w:tc>
          <w:tcPr>
            <w:tcW w:w="43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556" w:type="dxa"/>
            <w:gridSpan w:val="3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</w:rPr>
            </w:pPr>
            <w:r>
              <w:rPr>
                <w:b/>
              </w:rPr>
              <w:t>Л.В.Ионова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25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Секретарь Совета депутатов</w:t>
            </w:r>
          </w:p>
        </w:tc>
        <w:tc>
          <w:tcPr>
            <w:tcW w:w="43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556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0575" w:type="dxa"/>
        <w:jc w:val="left"/>
        <w:tblInd w:w="-12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29"/>
        <w:gridCol w:w="511"/>
        <w:gridCol w:w="570"/>
        <w:gridCol w:w="570"/>
        <w:gridCol w:w="1980"/>
        <w:gridCol w:w="570"/>
        <w:gridCol w:w="1125"/>
        <w:gridCol w:w="1109"/>
        <w:gridCol w:w="1110"/>
      </w:tblGrid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914" w:type="dxa"/>
            <w:gridSpan w:val="4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Пушкинского муниципального образования от 05.04.2024№ 50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"Приложение 2 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13.12.2023 № 30"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914" w:type="dxa"/>
            <w:gridSpan w:val="4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914" w:type="dxa"/>
            <w:gridSpan w:val="4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914" w:type="dxa"/>
            <w:gridSpan w:val="4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914" w:type="dxa"/>
            <w:gridSpan w:val="4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574" w:type="dxa"/>
            <w:gridSpan w:val="9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Ведомственная структура расходов бюджета Пушкинского муниципального образования на 2024 год и плановый период 2025 и 2026 годов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51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Код</w:t>
            </w:r>
          </w:p>
        </w:tc>
        <w:tc>
          <w:tcPr>
            <w:tcW w:w="5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Раз-дел</w:t>
            </w:r>
          </w:p>
        </w:tc>
        <w:tc>
          <w:tcPr>
            <w:tcW w:w="5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Под-раздел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5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334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1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51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5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5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5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9</w:t>
            </w:r>
          </w:p>
        </w:tc>
      </w:tr>
      <w:tr>
        <w:trPr>
          <w:trHeight w:val="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20 547,20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Общегосударственные вопросы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9 919,90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8 695,80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9 278,30</w:t>
            </w:r>
          </w:p>
        </w:tc>
      </w:tr>
      <w:tr>
        <w:trPr>
          <w:trHeight w:val="9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Выполнение функций органами местного самоуправления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органов местного самоуправления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3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3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14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фонды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3 508,50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3 163,00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3 304,00</w:t>
            </w:r>
          </w:p>
        </w:tc>
      </w:tr>
      <w:tr>
        <w:trPr>
          <w:trHeight w:val="114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1 099,50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Выполнение прочих обязательств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Национальная оборона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3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Национальная экономика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4 200,00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3 690,00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4 656,20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Топливно-энергетический комплекс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114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Дорожное хозяйство(дорожные фонды)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9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5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3 879,50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1 366,00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1 366,00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Жилищное хозяйство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в сфере жилищно-коммунального хозяйства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Поддержка жилищного хозяйства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Коммунальное хозяйство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15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8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Благоустройство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3 331,80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9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3 321,80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3 321,80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13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8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81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1 564,90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1 564,90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1 564,90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КУЛЬТУРА И КИНЕМАТОГРАФИЯ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Культура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114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Социальная политика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Пенсионное обеспечение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69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/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302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0000000000</w:t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000</w:t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20 547,20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16 337,10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17 922,10</w:t>
            </w:r>
          </w:p>
        </w:tc>
      </w:tr>
      <w:tr>
        <w:trPr>
          <w:trHeight w:val="450" w:hRule="atLeast"/>
        </w:trPr>
        <w:tc>
          <w:tcPr>
            <w:tcW w:w="302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20 547,2</w:t>
            </w:r>
          </w:p>
        </w:tc>
        <w:tc>
          <w:tcPr>
            <w:tcW w:w="110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</w:t>
            </w:r>
          </w:p>
        </w:tc>
        <w:tc>
          <w:tcPr>
            <w:tcW w:w="11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Верно:</w:t>
      </w:r>
    </w:p>
    <w:p>
      <w:pPr>
        <w:pStyle w:val="Normal"/>
        <w:rPr/>
      </w:pPr>
      <w:r>
        <w:rPr>
          <w:b/>
          <w:bCs/>
        </w:rPr>
        <w:t>секретарь Совета депутатов                                                                                 Л.В.Ионова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0725" w:type="dxa"/>
        <w:jc w:val="left"/>
        <w:tblInd w:w="-27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708"/>
        <w:gridCol w:w="521"/>
        <w:gridCol w:w="556"/>
        <w:gridCol w:w="1710"/>
        <w:gridCol w:w="674"/>
        <w:gridCol w:w="1140"/>
        <w:gridCol w:w="1200"/>
        <w:gridCol w:w="1214"/>
      </w:tblGrid>
      <w:tr>
        <w:trPr>
          <w:trHeight w:val="3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554" w:type="dxa"/>
            <w:gridSpan w:val="3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Пушкинского муниципального образования от 05.04.2024 № 50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"Приложение 3 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13.12.2023 № 30"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554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554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554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554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0723" w:type="dxa"/>
            <w:gridSpan w:val="8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2024 год и на плановый период 2025 и 2026 годов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2024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300" w:hRule="atLeast"/>
        </w:trPr>
        <w:tc>
          <w:tcPr>
            <w:tcW w:w="37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Раздел</w:t>
            </w:r>
          </w:p>
        </w:tc>
        <w:tc>
          <w:tcPr>
            <w:tcW w:w="55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Под-раздел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355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7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5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55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14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</w:t>
            </w:r>
          </w:p>
        </w:tc>
      </w:tr>
      <w:tr>
        <w:trPr>
          <w:trHeight w:val="10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9 919,90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8 695,80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9 278,30</w:t>
            </w:r>
          </w:p>
        </w:tc>
      </w:tr>
      <w:tr>
        <w:trPr>
          <w:trHeight w:val="9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Выполнение функций органами местного самоуправления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органов местного самоуправления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14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14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14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фонды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3 508,50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3 163,00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3 304,00</w:t>
            </w:r>
          </w:p>
        </w:tc>
      </w:tr>
      <w:tr>
        <w:trPr>
          <w:trHeight w:val="114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1 099,50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Выполнение прочих обязательств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02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14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4 200,00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3 690,00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4 656,20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Топливно-энергетический комплекс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Дорожное хозяйство(дорожные фонды)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9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5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3 879,50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1 366,00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1 366,00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Жилищное хозяйство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в сфере жилищно-коммунального хозяйства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Поддержка жилищного хозяйства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Коммунальное хозяйство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15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8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Благоустройство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3 331,80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91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3 321,80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3 321,80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13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1 564,90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1 564,90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1 564,90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08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Культура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114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10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211,00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212,00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Пенсионное обеспечение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690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89 0 00 00000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20 547,20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Верно:</w:t>
      </w:r>
    </w:p>
    <w:p>
      <w:pPr>
        <w:pStyle w:val="Normal"/>
        <w:rPr>
          <w:b/>
          <w:bCs/>
        </w:rPr>
      </w:pPr>
      <w:r>
        <w:rPr>
          <w:b/>
          <w:bCs/>
        </w:rPr>
        <w:t>секретарь Совета депутатов                                                                                            Л.В.Ионова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644"/>
        <w:gridCol w:w="1912"/>
        <w:gridCol w:w="757"/>
        <w:gridCol w:w="1440"/>
        <w:gridCol w:w="1335"/>
        <w:gridCol w:w="1336"/>
      </w:tblGrid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11" w:type="dxa"/>
            <w:gridSpan w:val="3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Пушкинского муниципального образования от 05.04.2024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"Приложение 4 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13.12.2023 № 30"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11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11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11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11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10424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2024 год и на плановый период 2025 и 2026 годов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2024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300" w:hRule="atLeast"/>
        </w:trPr>
        <w:tc>
          <w:tcPr>
            <w:tcW w:w="364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7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411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64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7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</w:tr>
      <w:tr>
        <w:trPr>
          <w:trHeight w:val="19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31 0 00 00000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90,00</w:t>
            </w:r>
          </w:p>
        </w:tc>
      </w:tr>
      <w:tr>
        <w:trPr>
          <w:trHeight w:val="91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33 0 00 00000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34 0 00 00000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35 0 00 00000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2 037,50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1 928,00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36 0 00 00000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220,00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91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37 0 00 00000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38 0 00 00000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4 450,00</w:t>
            </w:r>
          </w:p>
        </w:tc>
      </w:tr>
      <w:tr>
        <w:trPr>
          <w:trHeight w:val="91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3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91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39 0 00 00000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461,70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13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40 0 00 00000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41 0 00 00000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3 321,80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1 170,00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3 321,80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114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14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1 564,90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1 564,90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1 564,90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80 0 00 00000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80 2 00 00000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114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81 0 00 00000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6 391,40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5 522,80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5 964,30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81 3 00 00000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6 391,40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5 522,80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5 964,30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14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14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84 0 00 00000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1 199,50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1 156,20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Расходы в сфере жилищно-коммунального хозяйства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85 0 00 00000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Поддержка жилищного хозяйства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85 1 00 00000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86 0 00 00000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86 5 00 00000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69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14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Расходы по исполнению отдельных обязательств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Выполнение прочих обязательств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87 1 00 00000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Средства резервного фонда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87 3 00 00000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89 0 00 00000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212,00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50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20 547,20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  <w:tr>
        <w:trPr>
          <w:trHeight w:val="255" w:hRule="atLeast"/>
        </w:trPr>
        <w:tc>
          <w:tcPr>
            <w:tcW w:w="36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9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Верно:</w:t>
      </w:r>
    </w:p>
    <w:p>
      <w:pPr>
        <w:pStyle w:val="Normal"/>
        <w:rPr>
          <w:b/>
          <w:bCs/>
        </w:rPr>
      </w:pPr>
      <w:r>
        <w:rPr>
          <w:b/>
          <w:bCs/>
        </w:rPr>
        <w:t>секретарь Совета депутатов                                                                                          Л.В.Ионова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Приложение 5</w:t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 решению Совета депутатов Пушкинского муниципального</w:t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образования от 05.04.2024 № _50 </w:t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"Приложение 7 к решению Совета депутатов Пушкинского муниципального образования от 13.12.2023 № 30"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Источники финансирования дефицита бюджета Пушкинского муниципального образования на 2024 год и на плановый период 2025 и 2026 годов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(тыс. рублей)</w:t>
      </w:r>
    </w:p>
    <w:tbl>
      <w:tblPr>
        <w:tblStyle w:val="a3"/>
        <w:tblW w:w="963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3402"/>
        <w:gridCol w:w="1131"/>
        <w:gridCol w:w="1137"/>
        <w:gridCol w:w="1134"/>
      </w:tblGrid>
      <w:tr>
        <w:trPr>
          <w:trHeight w:val="390" w:hRule="atLeast"/>
        </w:trPr>
        <w:tc>
          <w:tcPr>
            <w:tcW w:w="2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Сумма</w:t>
            </w:r>
          </w:p>
        </w:tc>
      </w:tr>
      <w:tr>
        <w:trPr>
          <w:trHeight w:val="785" w:hRule="atLeast"/>
        </w:trPr>
        <w:tc>
          <w:tcPr>
            <w:tcW w:w="2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2026 год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000 01 00 00 00 00 0000 000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3093,3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000 01 05 00 00 00 0000 000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3093,3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000 01 05 00 00 00 0000 500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-17453,9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3" w:name="_Hlk163207847"/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bookmarkEnd w:id="3"/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000 01 05 02 00 00 0000 500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-17453,9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000 01 05 02 01 00 0000 510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-17453,9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000 01 05 02 01 13 0000 510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-17453,9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000 01 05 00 00 00 0000 600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20547,2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4" w:name="_Hlk163207863"/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bookmarkEnd w:id="4"/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000 01 05 02 00 00 0000 600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20547,2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000 01 05 02 01 00 0000 610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20547,2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000 01 05 02 01 13 0000 610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20547,2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Верно:</w:t>
      </w:r>
    </w:p>
    <w:p>
      <w:pPr>
        <w:pStyle w:val="Normal"/>
        <w:spacing w:before="0" w:after="0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 xml:space="preserve">Секретарь Совета депутатов                                                         </w:t>
        <w:tab/>
        <w:tab/>
        <w:tab/>
        <w:t xml:space="preserve">         Л.В.Ионова</w:t>
      </w:r>
    </w:p>
    <w:sectPr>
      <w:type w:val="nextPage"/>
      <w:pgSz w:w="11906" w:h="16838"/>
      <w:pgMar w:left="993" w:right="48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semiHidden="1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36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73634"/>
    <w:pPr>
      <w:keepNext w:val="true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Normal"/>
    <w:next w:val="Normal"/>
    <w:link w:val="21"/>
    <w:uiPriority w:val="99"/>
    <w:qFormat/>
    <w:rsid w:val="00a73634"/>
    <w:pPr>
      <w:keepNext w:val="true"/>
      <w:outlineLvl w:val="1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link w:val="71"/>
    <w:uiPriority w:val="99"/>
    <w:qFormat/>
    <w:locked/>
    <w:rsid w:val="00401676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styleId="21" w:customStyle="1">
    <w:name w:val="Заголовок 2 Знак"/>
    <w:uiPriority w:val="99"/>
    <w:qFormat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styleId="71" w:customStyle="1">
    <w:name w:val="Заголовок 7 Знак"/>
    <w:uiPriority w:val="99"/>
    <w:semiHidden/>
    <w:qFormat/>
    <w:locked/>
    <w:rsid w:val="002f2a00"/>
    <w:rPr>
      <w:rFonts w:ascii="Calibri" w:hAnsi="Calibri" w:cs="Times New Roman"/>
      <w:sz w:val="24"/>
    </w:rPr>
  </w:style>
  <w:style w:type="character" w:styleId="Style11" w:customStyle="1">
    <w:name w:val="Верх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Style12" w:customStyle="1">
    <w:name w:val="Ниж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-">
    <w:name w:val="Hyperlink"/>
    <w:uiPriority w:val="99"/>
    <w:semiHidden/>
    <w:rsid w:val="00856751"/>
    <w:rPr>
      <w:rFonts w:cs="Times New Roman"/>
      <w:color w:val="0000FF"/>
      <w:u w:val="single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805701"/>
    <w:rPr>
      <w:rFonts w:ascii="Tahoma" w:hAnsi="Tahoma" w:cs="Times New Roman"/>
      <w:sz w:val="16"/>
    </w:rPr>
  </w:style>
  <w:style w:type="character" w:styleId="Style14" w:customStyle="1">
    <w:name w:val="Основной текст Знак"/>
    <w:uiPriority w:val="99"/>
    <w:semiHidden/>
    <w:qFormat/>
    <w:locked/>
    <w:rsid w:val="00ae1d50"/>
    <w:rPr>
      <w:rFonts w:ascii="Times New Roman" w:hAnsi="Times New Roman" w:cs="Times New Roman"/>
      <w:sz w:val="24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6248e2"/>
    <w:rPr>
      <w:rFonts w:ascii="Times New Roman" w:hAnsi="Times New Roman" w:cs="Times New Roman"/>
      <w:sz w:val="24"/>
    </w:rPr>
  </w:style>
  <w:style w:type="character" w:styleId="Style15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character" w:styleId="Style16" w:customStyle="1">
    <w:name w:val="Текст Знак"/>
    <w:link w:val="PlainText"/>
    <w:qFormat/>
    <w:rsid w:val="009b5f95"/>
    <w:rPr>
      <w:rFonts w:ascii="Courier New" w:hAnsi="Courier New" w:cs="Times New Roman"/>
      <w:lang w:val="x-none" w:eastAsia="x-none"/>
    </w:rPr>
  </w:style>
  <w:style w:type="paragraph" w:styleId="Style17" w:customStyle="1">
    <w:name w:val="Заголовок"/>
    <w:next w:val="Style18"/>
    <w:uiPriority w:val="99"/>
    <w:qFormat/>
    <w:rsid w:val="003f5ac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link w:val="Style14"/>
    <w:uiPriority w:val="99"/>
    <w:semiHidden/>
    <w:rsid w:val="00d97537"/>
    <w:pPr/>
    <w:rPr>
      <w:sz w:val="26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a7363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Normal" w:customStyle="1">
    <w:name w:val="ConsNormal"/>
    <w:uiPriority w:val="99"/>
    <w:qFormat/>
    <w:rsid w:val="00a73634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1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2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3"/>
    <w:uiPriority w:val="99"/>
    <w:semiHidden/>
    <w:qFormat/>
    <w:rsid w:val="00805701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2"/>
    <w:uiPriority w:val="99"/>
    <w:qFormat/>
    <w:rsid w:val="003f5acb"/>
    <w:pPr>
      <w:spacing w:lineRule="auto" w:line="480" w:before="0" w:after="120"/>
    </w:pPr>
    <w:rPr/>
  </w:style>
  <w:style w:type="paragraph" w:styleId="ConsPlusNormal" w:customStyle="1">
    <w:name w:val="ConsPlusNormal"/>
    <w:uiPriority w:val="99"/>
    <w:qFormat/>
    <w:rsid w:val="000938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401676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Xl68" w:customStyle="1">
    <w:name w:val="xl68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69" w:customStyle="1">
    <w:name w:val="xl69"/>
    <w:basedOn w:val="Normal"/>
    <w:qFormat/>
    <w:rsid w:val="001c0736"/>
    <w:pPr>
      <w:spacing w:beforeAutospacing="1" w:afterAutospacing="1"/>
      <w:jc w:val="center"/>
    </w:pPr>
    <w:rPr/>
  </w:style>
  <w:style w:type="paragraph" w:styleId="Xl70" w:customStyle="1">
    <w:name w:val="xl70"/>
    <w:basedOn w:val="Normal"/>
    <w:qFormat/>
    <w:rsid w:val="001c0736"/>
    <w:pPr>
      <w:spacing w:beforeAutospacing="1" w:afterAutospacing="1"/>
    </w:pPr>
    <w:rPr>
      <w:b/>
      <w:bCs/>
    </w:rPr>
  </w:style>
  <w:style w:type="paragraph" w:styleId="Xl71" w:customStyle="1">
    <w:name w:val="xl71"/>
    <w:basedOn w:val="Normal"/>
    <w:qFormat/>
    <w:rsid w:val="001c0736"/>
    <w:pPr>
      <w:spacing w:beforeAutospacing="1" w:afterAutospacing="1"/>
    </w:pPr>
    <w:rPr>
      <w:sz w:val="16"/>
      <w:szCs w:val="16"/>
    </w:rPr>
  </w:style>
  <w:style w:type="paragraph" w:styleId="Xl72" w:customStyle="1">
    <w:name w:val="xl72"/>
    <w:basedOn w:val="Normal"/>
    <w:qFormat/>
    <w:rsid w:val="001c0736"/>
    <w:pPr>
      <w:spacing w:beforeAutospacing="1" w:afterAutospacing="1"/>
    </w:pPr>
    <w:rPr>
      <w:sz w:val="16"/>
      <w:szCs w:val="16"/>
    </w:rPr>
  </w:style>
  <w:style w:type="paragraph" w:styleId="Xl73" w:customStyle="1">
    <w:name w:val="xl73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74" w:customStyle="1">
    <w:name w:val="xl74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5" w:customStyle="1">
    <w:name w:val="xl75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6" w:customStyle="1">
    <w:name w:val="xl76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7" w:customStyle="1">
    <w:name w:val="xl77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78" w:customStyle="1">
    <w:name w:val="xl78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79" w:customStyle="1">
    <w:name w:val="xl79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80" w:customStyle="1">
    <w:name w:val="xl80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81" w:customStyle="1">
    <w:name w:val="xl81"/>
    <w:basedOn w:val="Normal"/>
    <w:qFormat/>
    <w:rsid w:val="001c0736"/>
    <w:pPr>
      <w:spacing w:beforeAutospacing="1" w:afterAutospacing="1"/>
    </w:pPr>
    <w:rPr>
      <w:b/>
      <w:bCs/>
      <w:sz w:val="16"/>
      <w:szCs w:val="16"/>
    </w:rPr>
  </w:style>
  <w:style w:type="paragraph" w:styleId="Xl82" w:customStyle="1">
    <w:name w:val="xl8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3" w:customStyle="1">
    <w:name w:val="xl83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4" w:customStyle="1">
    <w:name w:val="xl84"/>
    <w:basedOn w:val="Normal"/>
    <w:qFormat/>
    <w:rsid w:val="001c0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5" w:customStyle="1">
    <w:name w:val="xl85"/>
    <w:basedOn w:val="Normal"/>
    <w:qFormat/>
    <w:rsid w:val="001c073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6" w:customStyle="1">
    <w:name w:val="xl86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7" w:customStyle="1">
    <w:name w:val="xl87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8" w:customStyle="1">
    <w:name w:val="xl88"/>
    <w:basedOn w:val="Normal"/>
    <w:qFormat/>
    <w:rsid w:val="001c0736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1c0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0" w:customStyle="1">
    <w:name w:val="xl90"/>
    <w:basedOn w:val="Normal"/>
    <w:qFormat/>
    <w:rsid w:val="001c073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1" w:customStyle="1">
    <w:name w:val="xl91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2" w:customStyle="1">
    <w:name w:val="xl92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3" w:customStyle="1">
    <w:name w:val="xl93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94" w:customStyle="1">
    <w:name w:val="xl94"/>
    <w:basedOn w:val="Normal"/>
    <w:qFormat/>
    <w:rsid w:val="001c0736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/>
  </w:style>
  <w:style w:type="paragraph" w:styleId="Xl95" w:customStyle="1">
    <w:name w:val="xl95"/>
    <w:basedOn w:val="Normal"/>
    <w:qFormat/>
    <w:rsid w:val="001c0736"/>
    <w:pPr>
      <w:pBdr>
        <w:top w:val="single" w:sz="4" w:space="0" w:color="000000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styleId="Xl96" w:customStyle="1">
    <w:name w:val="xl96"/>
    <w:basedOn w:val="Normal"/>
    <w:qFormat/>
    <w:rsid w:val="001c0736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7" w:customStyle="1">
    <w:name w:val="xl97"/>
    <w:basedOn w:val="Normal"/>
    <w:qFormat/>
    <w:rsid w:val="001c0736"/>
    <w:pPr>
      <w:spacing w:beforeAutospacing="1" w:afterAutospacing="1"/>
      <w:jc w:val="right"/>
    </w:pPr>
    <w:rPr>
      <w:sz w:val="18"/>
      <w:szCs w:val="18"/>
    </w:rPr>
  </w:style>
  <w:style w:type="paragraph" w:styleId="Xl99" w:customStyle="1">
    <w:name w:val="xl99"/>
    <w:basedOn w:val="Normal"/>
    <w:qFormat/>
    <w:rsid w:val="001c0736"/>
    <w:pPr>
      <w:spacing w:beforeAutospacing="1" w:afterAutospacing="1"/>
    </w:pPr>
    <w:rPr/>
  </w:style>
  <w:style w:type="paragraph" w:styleId="Xl100" w:customStyle="1">
    <w:name w:val="xl100"/>
    <w:basedOn w:val="Normal"/>
    <w:qFormat/>
    <w:rsid w:val="001c0736"/>
    <w:pPr>
      <w:spacing w:beforeAutospacing="1" w:afterAutospacing="1"/>
    </w:pPr>
    <w:rPr/>
  </w:style>
  <w:style w:type="paragraph" w:styleId="Xl101" w:customStyle="1">
    <w:name w:val="xl101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2" w:customStyle="1">
    <w:name w:val="xl10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3" w:customStyle="1">
    <w:name w:val="xl103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4" w:customStyle="1">
    <w:name w:val="xl104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105" w:customStyle="1">
    <w:name w:val="xl105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67" w:customStyle="1">
    <w:name w:val="xl67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98" w:customStyle="1">
    <w:name w:val="xl98"/>
    <w:basedOn w:val="Normal"/>
    <w:qFormat/>
    <w:rsid w:val="001c0736"/>
    <w:pP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06" w:customStyle="1">
    <w:name w:val="xl106"/>
    <w:basedOn w:val="Normal"/>
    <w:qFormat/>
    <w:rsid w:val="001c0736"/>
    <w:pPr>
      <w:spacing w:beforeAutospacing="1" w:afterAutospacing="1"/>
    </w:pPr>
    <w:rPr>
      <w:color w:val="FFFFFF"/>
      <w:sz w:val="16"/>
      <w:szCs w:val="16"/>
    </w:rPr>
  </w:style>
  <w:style w:type="paragraph" w:styleId="Xl108" w:customStyle="1">
    <w:name w:val="xl108"/>
    <w:basedOn w:val="Normal"/>
    <w:qFormat/>
    <w:rsid w:val="001c0736"/>
    <w:pPr>
      <w:spacing w:beforeAutospacing="1" w:afterAutospacing="1"/>
    </w:pPr>
    <w:rPr/>
  </w:style>
  <w:style w:type="paragraph" w:styleId="Xl109" w:customStyle="1">
    <w:name w:val="xl109"/>
    <w:basedOn w:val="Normal"/>
    <w:qFormat/>
    <w:rsid w:val="001c0736"/>
    <w:pPr>
      <w:spacing w:beforeAutospacing="1" w:afterAutospacing="1"/>
    </w:pPr>
    <w:rPr/>
  </w:style>
  <w:style w:type="paragraph" w:styleId="Xl110" w:customStyle="1">
    <w:name w:val="xl110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1" w:customStyle="1">
    <w:name w:val="xl111"/>
    <w:basedOn w:val="Normal"/>
    <w:qFormat/>
    <w:rsid w:val="001c0736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2" w:customStyle="1">
    <w:name w:val="xl11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3" w:customStyle="1">
    <w:name w:val="xl113"/>
    <w:basedOn w:val="Normal"/>
    <w:qFormat/>
    <w:rsid w:val="001c0736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4" w:customStyle="1">
    <w:name w:val="xl114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5" w:customStyle="1">
    <w:name w:val="xl115"/>
    <w:basedOn w:val="Normal"/>
    <w:qFormat/>
    <w:rsid w:val="001c07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6" w:customStyle="1">
    <w:name w:val="xl116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117" w:customStyle="1">
    <w:name w:val="xl117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8" w:customStyle="1">
    <w:name w:val="xl118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119" w:customStyle="1">
    <w:name w:val="xl119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107" w:customStyle="1">
    <w:name w:val="xl107"/>
    <w:basedOn w:val="Normal"/>
    <w:qFormat/>
    <w:rsid w:val="00da4e4d"/>
    <w:pPr>
      <w:spacing w:beforeAutospacing="1" w:afterAutospacing="1"/>
    </w:pPr>
    <w:rPr>
      <w:sz w:val="18"/>
      <w:szCs w:val="18"/>
    </w:rPr>
  </w:style>
  <w:style w:type="paragraph" w:styleId="Xl66" w:customStyle="1">
    <w:name w:val="xl66"/>
    <w:basedOn w:val="Normal"/>
    <w:qFormat/>
    <w:rsid w:val="009b5f95"/>
    <w:pPr>
      <w:spacing w:beforeAutospacing="1" w:afterAutospacing="1"/>
    </w:pPr>
    <w:rPr>
      <w:b/>
      <w:bCs/>
      <w:sz w:val="18"/>
      <w:szCs w:val="18"/>
    </w:rPr>
  </w:style>
  <w:style w:type="paragraph" w:styleId="PlainText">
    <w:name w:val="Plain Text"/>
    <w:basedOn w:val="Normal"/>
    <w:link w:val="Style16"/>
    <w:qFormat/>
    <w:rsid w:val="009b5f95"/>
    <w:pPr/>
    <w:rPr>
      <w:rFonts w:ascii="Courier New" w:hAnsi="Courier New"/>
      <w:sz w:val="20"/>
      <w:szCs w:val="20"/>
      <w:lang w:val="x-none" w:eastAsia="x-none"/>
    </w:rPr>
  </w:style>
  <w:style w:type="paragraph" w:styleId="Msonormal" w:customStyle="1">
    <w:name w:val="msonormal"/>
    <w:basedOn w:val="Normal"/>
    <w:qFormat/>
    <w:rsid w:val="00792cd7"/>
    <w:pPr>
      <w:spacing w:beforeAutospacing="1" w:afterAutospacing="1"/>
    </w:pPr>
    <w:rPr/>
  </w:style>
  <w:style w:type="paragraph" w:styleId="Xl65" w:customStyle="1">
    <w:name w:val="xl65"/>
    <w:basedOn w:val="Normal"/>
    <w:qFormat/>
    <w:rsid w:val="005d3e32"/>
    <w:pPr>
      <w:spacing w:beforeAutospacing="1" w:afterAutospacing="1"/>
    </w:pPr>
    <w:rPr>
      <w:b/>
      <w:bCs/>
      <w:sz w:val="18"/>
      <w:szCs w:val="18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da4e4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rsid w:val="000f281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1"/>
    <w:uiPriority w:val="39"/>
    <w:rsid w:val="00b11a4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39"/>
    <w:rsid w:val="00ef2d6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39"/>
    <w:rsid w:val="00166af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LibreOffice/7.5.1.2$Windows_X86_64 LibreOffice_project/fcbaee479e84c6cd81291587d2ee68cba099e129</Application>
  <AppVersion>15.0000</AppVersion>
  <Pages>43</Pages>
  <Words>10408</Words>
  <Characters>58474</Characters>
  <CharactersWithSpaces>66367</CharactersWithSpaces>
  <Paragraphs>3634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2023-12-11T08:10:00Z</dcterms:created>
  <dc:creator>Бурлуцкая Лариса Александровна</dc:creator>
  <dc:description/>
  <dc:language>ru-RU</dc:language>
  <cp:lastModifiedBy/>
  <cp:lastPrinted>2024-04-08T08:18:16Z</cp:lastPrinted>
  <dcterms:modified xsi:type="dcterms:W3CDTF">2024-04-08T08:30:03Z</dcterms:modified>
  <cp:revision>15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