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5059D0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(третьего созыва)</w:t>
      </w:r>
    </w:p>
    <w:p w:rsidR="005059D0" w:rsidRDefault="005059D0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D3635" w:rsidRPr="005059D0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5059D0">
        <w:rPr>
          <w:rFonts w:ascii="Cambria" w:hAnsi="Cambria" w:cs="Times New Roman"/>
          <w:b/>
          <w:color w:val="000000"/>
          <w:sz w:val="28"/>
          <w:szCs w:val="28"/>
        </w:rPr>
        <w:t>Р</w:t>
      </w:r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>Е Ш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DD4A72" w:rsidRDefault="003F1748" w:rsidP="005059D0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22.11.2017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>№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 xml:space="preserve"> 252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3F1748" w:rsidRDefault="003F1748" w:rsidP="005059D0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</w:p>
    <w:p w:rsidR="00ED3635" w:rsidRDefault="009B241F" w:rsidP="003F1748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установлении налога на имущество </w:t>
      </w:r>
    </w:p>
    <w:p w:rsidR="00ED3635" w:rsidRDefault="009B241F" w:rsidP="003F17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физических лиц  </w:t>
      </w:r>
    </w:p>
    <w:p w:rsidR="00ED3635" w:rsidRDefault="00980602" w:rsidP="00980602">
      <w:pPr>
        <w:widowControl w:val="0"/>
        <w:autoSpaceDE w:val="0"/>
        <w:autoSpaceDN w:val="0"/>
        <w:adjustRightInd w:val="0"/>
        <w:spacing w:before="285" w:after="0" w:line="324" w:lineRule="exact"/>
        <w:ind w:left="2" w:right="-36" w:firstLine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В 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соответствии с </w:t>
      </w:r>
      <w:r w:rsidR="003773A5">
        <w:rPr>
          <w:rFonts w:ascii="Times New Roman" w:hAnsi="Times New Roman" w:cs="Times New Roman"/>
          <w:color w:val="000000"/>
          <w:sz w:val="28"/>
          <w:szCs w:val="24"/>
        </w:rPr>
        <w:t>главой 32 «Налог на имущество физических лиц»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 xml:space="preserve"> Налогового кодекса Российской </w:t>
      </w:r>
      <w:r w:rsidR="003773A5"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 w:rsidR="00792EC6">
        <w:rPr>
          <w:rFonts w:ascii="Times New Roman" w:hAnsi="Times New Roman" w:cs="Times New Roman"/>
          <w:color w:val="000000"/>
          <w:sz w:val="28"/>
          <w:szCs w:val="24"/>
        </w:rPr>
        <w:t>, Законом Са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ратовской области от 25.10.2017</w:t>
      </w:r>
      <w:r w:rsidR="00792EC6">
        <w:rPr>
          <w:rFonts w:ascii="Times New Roman" w:hAnsi="Times New Roman" w:cs="Times New Roman"/>
          <w:color w:val="000000"/>
          <w:sz w:val="28"/>
          <w:szCs w:val="24"/>
        </w:rPr>
        <w:t xml:space="preserve"> №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92EC6">
        <w:rPr>
          <w:rFonts w:ascii="Times New Roman" w:hAnsi="Times New Roman" w:cs="Times New Roman"/>
          <w:color w:val="000000"/>
          <w:sz w:val="28"/>
          <w:szCs w:val="24"/>
        </w:rPr>
        <w:t>81-ЗСО 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>, руко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водствуясь Уставом  Пушкинского муниципального образования Советского  муниципального района Саратовской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области, Совет депутатов РЕШИЛ: </w:t>
      </w:r>
    </w:p>
    <w:p w:rsidR="00ED3635" w:rsidRDefault="009B24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вести на территории Пушкинского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налог на</w:t>
      </w:r>
    </w:p>
    <w:p w:rsidR="00ED3635" w:rsidRDefault="005059D0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физических лиц (далее – налог).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3773A5" w:rsidRPr="003773A5" w:rsidRDefault="003773A5" w:rsidP="003773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3773A5">
        <w:rPr>
          <w:rFonts w:ascii="Times New Roman" w:hAnsi="Times New Roman" w:cs="Times New Roman"/>
          <w:color w:val="000000"/>
          <w:sz w:val="28"/>
          <w:szCs w:val="24"/>
        </w:rPr>
        <w:t>2. Налоговая база в отношении объектов налогообложения определяется исходя из их кадастровой стоимости.</w:t>
      </w:r>
    </w:p>
    <w:p w:rsidR="00A81116" w:rsidRPr="00792EC6" w:rsidRDefault="00792EC6" w:rsidP="00792EC6">
      <w:pPr>
        <w:widowControl w:val="0"/>
        <w:autoSpaceDE w:val="0"/>
        <w:autoSpaceDN w:val="0"/>
        <w:adjustRightInd w:val="0"/>
        <w:spacing w:after="0" w:line="324" w:lineRule="exact"/>
        <w:ind w:left="3" w:right="-38" w:firstLine="7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 w:rsidR="009F758F">
        <w:rPr>
          <w:rFonts w:ascii="Times New Roman" w:hAnsi="Times New Roman" w:cs="Times New Roman"/>
          <w:color w:val="000000"/>
          <w:sz w:val="28"/>
          <w:szCs w:val="24"/>
        </w:rPr>
        <w:t xml:space="preserve"> У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становить</w:t>
      </w:r>
      <w:r w:rsidR="003773A5" w:rsidRPr="00792EC6">
        <w:rPr>
          <w:rFonts w:ascii="Times New Roman" w:hAnsi="Times New Roman" w:cs="Times New Roman"/>
          <w:color w:val="000000"/>
          <w:sz w:val="28"/>
          <w:szCs w:val="24"/>
        </w:rPr>
        <w:t xml:space="preserve"> налоговые ставки в следующих размерах</w:t>
      </w:r>
      <w:r w:rsidR="009B241F" w:rsidRPr="00792EC6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61"/>
        <w:gridCol w:w="2570"/>
        <w:gridCol w:w="6917"/>
      </w:tblGrid>
      <w:tr w:rsidR="009F758F" w:rsidTr="0058694F">
        <w:tc>
          <w:tcPr>
            <w:tcW w:w="861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70" w:type="dxa"/>
          </w:tcPr>
          <w:p w:rsidR="009F758F" w:rsidRDefault="009F758F" w:rsidP="00A02E95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 в %</w:t>
            </w:r>
          </w:p>
        </w:tc>
        <w:tc>
          <w:tcPr>
            <w:tcW w:w="6917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9F758F" w:rsidTr="0058694F">
        <w:trPr>
          <w:trHeight w:val="524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917" w:type="dxa"/>
          </w:tcPr>
          <w:p w:rsidR="009F758F" w:rsidRPr="000A05F7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>,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8F" w:rsidTr="0058694F"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917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79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</w:t>
            </w:r>
            <w:r w:rsidR="0050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9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9F758F" w:rsidTr="0058694F"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917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комплекс, в состав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входит хотя бы одно жилое помещение (жилой дом)</w:t>
            </w:r>
          </w:p>
        </w:tc>
      </w:tr>
      <w:tr w:rsidR="009F758F" w:rsidTr="0058694F"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917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и машино-мест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F758F" w:rsidTr="0058694F"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917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озяйственны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  <w:tr w:rsidR="009F758F" w:rsidTr="0058694F"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7" w:type="dxa"/>
          </w:tcPr>
          <w:p w:rsidR="009F758F" w:rsidRPr="009F758F" w:rsidRDefault="009F758F" w:rsidP="009F758F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включенны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перечень, 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определяемый в соответствии с пунктом 7 статьи 378.2 Н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, в отношении объектов налогообложения, предусмотренных абзацем вторым пункта 10 статьи 378.2 Н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</w:t>
            </w:r>
          </w:p>
        </w:tc>
      </w:tr>
      <w:tr w:rsidR="009F758F" w:rsidTr="0058694F"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0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17" w:type="dxa"/>
          </w:tcPr>
          <w:p w:rsidR="009F758F" w:rsidRDefault="009F758F" w:rsidP="009F758F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прочих объектов налогообложения</w:t>
            </w:r>
          </w:p>
        </w:tc>
      </w:tr>
    </w:tbl>
    <w:p w:rsidR="00ED3635" w:rsidRDefault="000A05F7" w:rsidP="000A05F7">
      <w:pPr>
        <w:pStyle w:val="a4"/>
        <w:spacing w:after="0"/>
        <w:ind w:left="3" w:firstLine="706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4.</w:t>
      </w:r>
      <w:r w:rsidR="00980602">
        <w:rPr>
          <w:color w:val="000000"/>
          <w:sz w:val="28"/>
          <w:szCs w:val="24"/>
        </w:rPr>
        <w:t xml:space="preserve"> </w:t>
      </w:r>
      <w:r w:rsidR="005059D0">
        <w:rPr>
          <w:color w:val="000000"/>
          <w:sz w:val="28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Пушкинского </w:t>
      </w:r>
      <w:r w:rsidR="009B241F">
        <w:rPr>
          <w:color w:val="000000"/>
          <w:sz w:val="28"/>
          <w:szCs w:val="24"/>
        </w:rPr>
        <w:t xml:space="preserve">муниципального образования, льготы, установленные в соответствии со статьей 407 </w:t>
      </w:r>
    </w:p>
    <w:p w:rsidR="00ED3635" w:rsidRDefault="009B241F" w:rsidP="000A05F7">
      <w:pPr>
        <w:widowControl w:val="0"/>
        <w:tabs>
          <w:tab w:val="left" w:pos="5288"/>
        </w:tabs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действуют в полном объеме. </w:t>
      </w:r>
    </w:p>
    <w:p w:rsidR="00980602" w:rsidRDefault="00980602" w:rsidP="00980602">
      <w:pPr>
        <w:tabs>
          <w:tab w:val="left" w:pos="709"/>
        </w:tabs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Дополнительно к категории </w:t>
      </w:r>
      <w:r w:rsidR="002E7BA0">
        <w:rPr>
          <w:rFonts w:ascii="Times New Roman" w:hAnsi="Times New Roman" w:cs="Times New Roman"/>
          <w:color w:val="000000"/>
          <w:sz w:val="28"/>
          <w:szCs w:val="24"/>
        </w:rPr>
        <w:t>налогоплательщиков,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установленных п.1 ст. 407 Налогового кодекса Р</w:t>
      </w:r>
      <w:r w:rsidR="002E7BA0">
        <w:rPr>
          <w:rFonts w:ascii="Times New Roman" w:hAnsi="Times New Roman" w:cs="Times New Roman"/>
          <w:color w:val="000000"/>
          <w:sz w:val="28"/>
          <w:szCs w:val="24"/>
        </w:rPr>
        <w:t xml:space="preserve">оссийской 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>Ф</w:t>
      </w:r>
      <w:r w:rsidR="002E7BA0"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9B241F" w:rsidRPr="00980602">
        <w:rPr>
          <w:rFonts w:ascii="Times New Roman" w:hAnsi="Times New Roman" w:cs="Times New Roman"/>
          <w:color w:val="000000"/>
          <w:sz w:val="28"/>
          <w:szCs w:val="28"/>
        </w:rPr>
        <w:t xml:space="preserve">отнести </w:t>
      </w:r>
      <w:r w:rsidRPr="00980602"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0602">
        <w:rPr>
          <w:rFonts w:ascii="Times New Roman" w:eastAsia="Times New Roman" w:hAnsi="Times New Roman" w:cs="Times New Roman"/>
          <w:sz w:val="28"/>
          <w:szCs w:val="28"/>
        </w:rPr>
        <w:t xml:space="preserve"> семей, в составе которых имеются трое и более детей в возрасте до 18 лет.</w:t>
      </w:r>
    </w:p>
    <w:p w:rsidR="00ED3635" w:rsidRDefault="00980602" w:rsidP="00980602">
      <w:pPr>
        <w:spacing w:after="0" w:line="240" w:lineRule="auto"/>
        <w:ind w:left="3" w:firstLine="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0A05F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>Признать утратившими силу:</w:t>
      </w:r>
    </w:p>
    <w:p w:rsidR="002A4544" w:rsidRDefault="002A4544" w:rsidP="002A4544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Решение Совета депутатов</w:t>
      </w:r>
      <w:r w:rsidR="003F174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Пушкинского муниципального образования</w:t>
      </w:r>
    </w:p>
    <w:p w:rsidR="00ED3635" w:rsidRDefault="009B241F" w:rsidP="002A4544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Саратовской области от </w:t>
      </w:r>
      <w:r w:rsidR="003F1748">
        <w:rPr>
          <w:rFonts w:ascii="Times New Roman" w:hAnsi="Times New Roman" w:cs="Times New Roman"/>
          <w:color w:val="000000"/>
          <w:sz w:val="28"/>
          <w:szCs w:val="24"/>
        </w:rPr>
        <w:t>21</w:t>
      </w:r>
      <w:r w:rsidR="00DB065A">
        <w:rPr>
          <w:rFonts w:ascii="Times New Roman" w:hAnsi="Times New Roman" w:cs="Times New Roman"/>
          <w:color w:val="000000"/>
          <w:sz w:val="28"/>
          <w:szCs w:val="24"/>
        </w:rPr>
        <w:t>.11.2014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 w:rsidR="003F1748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DB065A"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«Об установлении налога на имущество физических лиц»; </w:t>
      </w:r>
    </w:p>
    <w:p w:rsidR="00ED3635" w:rsidRDefault="009B241F" w:rsidP="009806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DC0DC9">
        <w:rPr>
          <w:rFonts w:ascii="Times New Roman" w:hAnsi="Times New Roman" w:cs="Times New Roman"/>
          <w:color w:val="000000"/>
          <w:sz w:val="28"/>
          <w:szCs w:val="24"/>
        </w:rPr>
        <w:t>Решение Совета депутатов Пушкинского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района Саратовской области от </w:t>
      </w:r>
      <w:r w:rsidR="00DC0DC9">
        <w:rPr>
          <w:rFonts w:ascii="Times New Roman" w:hAnsi="Times New Roman" w:cs="Times New Roman"/>
          <w:color w:val="000000"/>
          <w:sz w:val="28"/>
          <w:szCs w:val="24"/>
        </w:rPr>
        <w:t>24.11.2016 №</w:t>
      </w:r>
      <w:r w:rsidR="002A454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F1748">
        <w:rPr>
          <w:rFonts w:ascii="Times New Roman" w:hAnsi="Times New Roman" w:cs="Times New Roman"/>
          <w:color w:val="000000"/>
          <w:sz w:val="28"/>
          <w:szCs w:val="24"/>
        </w:rPr>
        <w:t>195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«О внесении изменений в решен</w:t>
      </w:r>
      <w:r w:rsidR="003F1748">
        <w:rPr>
          <w:rFonts w:ascii="Times New Roman" w:hAnsi="Times New Roman" w:cs="Times New Roman"/>
          <w:color w:val="000000"/>
          <w:sz w:val="28"/>
          <w:szCs w:val="24"/>
        </w:rPr>
        <w:t>ие Совета депутатов Пушкинского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Саратовской области от </w:t>
      </w:r>
      <w:bookmarkStart w:id="0" w:name="_GoBack"/>
      <w:bookmarkEnd w:id="0"/>
      <w:r w:rsidR="00DC0DC9">
        <w:rPr>
          <w:rFonts w:ascii="Times New Roman" w:hAnsi="Times New Roman" w:cs="Times New Roman"/>
          <w:color w:val="000000"/>
          <w:sz w:val="28"/>
          <w:szCs w:val="24"/>
        </w:rPr>
        <w:t>21.11.2014 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F1748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DB065A"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980602"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D3635" w:rsidRDefault="009B241F" w:rsidP="00021C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Настоящее решение вступает в силу с 1 января 201</w:t>
      </w:r>
      <w:r w:rsidR="00DB065A">
        <w:rPr>
          <w:rFonts w:ascii="Times New Roman" w:hAnsi="Times New Roman" w:cs="Times New Roman"/>
          <w:color w:val="000000"/>
          <w:sz w:val="28"/>
          <w:szCs w:val="24"/>
        </w:rPr>
        <w:t>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года, но не ранее чем по истечении одного месяца со дня его официального опубликования в районной газете «Заря». 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3F17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 Пушкинского</w:t>
      </w:r>
    </w:p>
    <w:p w:rsidR="00ED3635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образования                                             </w:t>
      </w:r>
      <w:r w:rsidR="003F174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Л.Г. Денисова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635" w:rsidRDefault="00ED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 w15:restartNumberingAfterBreak="0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724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724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724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724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724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724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724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724" w:hanging="360"/>
      </w:pPr>
      <w:rPr>
        <w:rFonts w:cs="Times New Roman" w:hint="default"/>
      </w:rPr>
    </w:lvl>
  </w:abstractNum>
  <w:abstractNum w:abstractNumId="5" w15:restartNumberingAfterBreak="0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1F"/>
    <w:rsid w:val="00021CD7"/>
    <w:rsid w:val="000A05F7"/>
    <w:rsid w:val="000A4B64"/>
    <w:rsid w:val="001D21FD"/>
    <w:rsid w:val="001E3241"/>
    <w:rsid w:val="002A4544"/>
    <w:rsid w:val="002E7BA0"/>
    <w:rsid w:val="003773A5"/>
    <w:rsid w:val="003F1748"/>
    <w:rsid w:val="005059D0"/>
    <w:rsid w:val="0058694F"/>
    <w:rsid w:val="00623DBB"/>
    <w:rsid w:val="00792EC6"/>
    <w:rsid w:val="008171DF"/>
    <w:rsid w:val="00841E99"/>
    <w:rsid w:val="00853AB4"/>
    <w:rsid w:val="008637DD"/>
    <w:rsid w:val="008A44D4"/>
    <w:rsid w:val="008D436A"/>
    <w:rsid w:val="009450D2"/>
    <w:rsid w:val="00980602"/>
    <w:rsid w:val="009B241F"/>
    <w:rsid w:val="009F758F"/>
    <w:rsid w:val="00A81116"/>
    <w:rsid w:val="00C435EE"/>
    <w:rsid w:val="00DB065A"/>
    <w:rsid w:val="00DC0DC9"/>
    <w:rsid w:val="00DD4A72"/>
    <w:rsid w:val="00E314D0"/>
    <w:rsid w:val="00E60644"/>
    <w:rsid w:val="00E71328"/>
    <w:rsid w:val="00E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3D103-07D5-41EF-ADF3-51791B62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5</cp:revision>
  <cp:lastPrinted>2017-11-29T10:41:00Z</cp:lastPrinted>
  <dcterms:created xsi:type="dcterms:W3CDTF">2017-11-29T09:52:00Z</dcterms:created>
  <dcterms:modified xsi:type="dcterms:W3CDTF">2017-11-29T10:44:00Z</dcterms:modified>
</cp:coreProperties>
</file>